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t>中华人民共和国食品安全法实施条例</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（2009年7月20日中华人民共和国国务院令第557号公布 根据2016年2月6日《国务院关于修改部分行政法规的决定》修订 2019年3月26日国务院第42次常务会议修订通过）</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bookmarkStart w:id="0" w:name="_GoBack"/>
      <w:bookmarkEnd w:id="0"/>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第一章 总则</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第一条 根据《中华人民共和国食品安全法》（以下简称食品安全法），制定本条例。</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第二条 食品生产经营者应当依照法律、法规和食品安全标准从事生产经营活动，建立健全食品安全管理制度，采取有效措施预防和控制食品安全风险，保证食品安全。</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第三条 国务院食品安全委员会负责分析食品安全形势，研究部署、统筹指导食品安全工作，提出食品安全监督管理的重大政策措施，督促落实食品安全监督管理责任。县级以上地方人民政府食品安全委员会按照本级人民政府规定的职责开展工作。</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第四条 县级以上人民政府建立统一权威的食品安全监督管理体制，加强食品安全监督管理能力建设。</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县级以上人民政府食品安全监督管理部门和其他有关部门应当依法履行职责，加强协调配合，做好食品安全监督管理工作。</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乡镇人民政府和街道办事处应当支持、协助县级人民政府食品安全监督管理部门及其派出机构依法开展食品安全监督管理工作。</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第五条 国家将食品安全知识纳入国民素质教育内容，普及食品安全科学常识和法律知识，提高全社会的食品安全意识。</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第二章 食品安全风险监测和评估</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第六条 县级以上人民政府卫生行政部门会同同级食品安全监督管理等部门建立食品安全风险监测会商机制，汇总、分析风险监测数据，</w:t>
      </w:r>
      <w:proofErr w:type="gramStart"/>
      <w:r w:rsidRPr="00E1082E">
        <w:rPr>
          <w:rFonts w:ascii="宋体" w:eastAsia="宋体" w:hAnsi="宋体" w:cs="宋体" w:hint="eastAsia"/>
          <w:color w:val="000000"/>
          <w:kern w:val="0"/>
          <w:szCs w:val="21"/>
          <w:shd w:val="clear" w:color="auto" w:fill="FFFFFF"/>
        </w:rPr>
        <w:t>研判食品</w:t>
      </w:r>
      <w:proofErr w:type="gramEnd"/>
      <w:r w:rsidRPr="00E1082E">
        <w:rPr>
          <w:rFonts w:ascii="宋体" w:eastAsia="宋体" w:hAnsi="宋体" w:cs="宋体" w:hint="eastAsia"/>
          <w:color w:val="000000"/>
          <w:kern w:val="0"/>
          <w:szCs w:val="21"/>
          <w:shd w:val="clear" w:color="auto" w:fill="FFFFFF"/>
        </w:rPr>
        <w:t>安全风险，形成食品安全风险监测分析报告，报本级人民政府；县级以上地方人民政府卫生行政部门还应当将食品安全风险监测分析报告同时报上一级人民政府卫生行政部门。食品安全风险监测会商的具体办法由国务院卫生行政部门会同国务院食品安全监督管理等部门制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第七条 食品安全风险监测结果表明存在食品安全隐患，食品安全监督管理等部门经进一步调查确认有必要通知相关食品生产经营者的，应当及时通知。</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接到通知的食品生产经营者应当立即进行自查，发现食品不符合食品安全标准或者有证据证明可能危害人体健康的，应当依照食品安全法第六十三条的规定停止生产、经营，实施食品召回，并报告相关情况。</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lastRenderedPageBreak/>
        <w:br/>
      </w:r>
      <w:r w:rsidRPr="00E1082E">
        <w:rPr>
          <w:rFonts w:ascii="宋体" w:eastAsia="宋体" w:hAnsi="宋体" w:cs="宋体" w:hint="eastAsia"/>
          <w:color w:val="000000"/>
          <w:kern w:val="0"/>
          <w:szCs w:val="21"/>
          <w:shd w:val="clear" w:color="auto" w:fill="FFFFFF"/>
        </w:rPr>
        <w:t>    第八条 国务院卫生行政、食品安全监督管理等部门发现需要对农药、肥料、兽药、饲料和饲料添加剂等进行安全性评估的，应当向国务院农业行政部门提出安全性评估建议。国务院农业行政部门应当及时组织评估，并向国务院有关部门通报评估结果。</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第九条 国务院食品安全监督管理部门和其他有关部门建立食品安全风险信息交流机制，明确食品安全风险信息交流的内容、程序和要求。</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第三章 食品安全标准</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第十条 国务院卫生行政部门会同国务院食品安全监督管理、农业行政等部门制定食品安全国家标准规划及其年度实施计划。国务院卫生行政部门应当在其网站上公布食品安全国家标准规划及其年度实施计划的草案，公开征求意见。</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第十一条 省、自治区、直辖市人民政府卫生行政部门依照食品安全法第二十九条的规定制定食品安全地方标准，应当公开征求意见。省、自治区、直辖市人民政府卫生行政部门应当</w:t>
      </w:r>
      <w:proofErr w:type="gramStart"/>
      <w:r w:rsidRPr="00E1082E">
        <w:rPr>
          <w:rFonts w:ascii="宋体" w:eastAsia="宋体" w:hAnsi="宋体" w:cs="宋体" w:hint="eastAsia"/>
          <w:color w:val="000000"/>
          <w:kern w:val="0"/>
          <w:szCs w:val="21"/>
          <w:shd w:val="clear" w:color="auto" w:fill="FFFFFF"/>
        </w:rPr>
        <w:t>自食品</w:t>
      </w:r>
      <w:proofErr w:type="gramEnd"/>
      <w:r w:rsidRPr="00E1082E">
        <w:rPr>
          <w:rFonts w:ascii="宋体" w:eastAsia="宋体" w:hAnsi="宋体" w:cs="宋体" w:hint="eastAsia"/>
          <w:color w:val="000000"/>
          <w:kern w:val="0"/>
          <w:szCs w:val="21"/>
          <w:shd w:val="clear" w:color="auto" w:fill="FFFFFF"/>
        </w:rPr>
        <w:t>安全地方标准公布之日起30个工作日内，将地方标准报国务院卫生行政部门备案。国务院卫生行政部门发现备案的食品安全地方标准违反法律、法规或者食品安全国家标准的，应当及时予以纠正。</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食品安全地方标准依法废止的，省、自治区、直辖市人民政府卫生行政部门应当及时在其网站上公布废止情况。</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第十二条 保健食品、特殊医学用途配方食品、婴幼儿配方食品等特殊食品不属于地方特色食品，不得对其制定食品安全地方标准。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第十三条 食品安全标准公布后，食品生产经营者可以在食品安全标准规定的实施日期之前实施并公开提前实施情况。</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第十四条 食品生产企业不得制定低于食品安全国家标准或者地方标准要求的企业标准。食品生产企业制定食品安全指标严于食品安全国家标准或者地方标准的企业标准的，应当报省、自治区、直辖市人民政府卫生行政部门备案。</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食品生产企业制定企业标准的，应当公开，供公众免费查阅。</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第四章 食品生产经营</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第十五条 食品生产经营许可的有效期为5年。</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食品生产经营者的生产经营条件发生变化，不再符合食品生产经营要求的，食品生产经营者应当立即采取整改措施；需要重新办理许可手续的，应当依法办理。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第十六条 国务院卫生行政部门应当及时公布新的食品原料、食品添加剂新品种和食品相关产品新品种目录以及所适用的食品安全国家标准。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lastRenderedPageBreak/>
        <w:br/>
      </w:r>
      <w:r w:rsidRPr="00E1082E">
        <w:rPr>
          <w:rFonts w:ascii="宋体" w:eastAsia="宋体" w:hAnsi="宋体" w:cs="宋体" w:hint="eastAsia"/>
          <w:color w:val="000000"/>
          <w:kern w:val="0"/>
          <w:szCs w:val="21"/>
          <w:shd w:val="clear" w:color="auto" w:fill="FFFFFF"/>
        </w:rPr>
        <w:t>    对按照传统既是食品又是中药材的物质目录，国务院卫生行政部门会同国务院食品安全监督管理部门应当及时更新。</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第十七条 国务院食品安全监督管理部门会同国务院农业行政等有关部门明确食品安全全程追溯基本要求，指导食品生产经营者通过信息化手段建立、完善食品安全追溯体系。</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食品安全监督管理等部门应当将婴幼儿配方食品等针对特定人群的食品以及其他食品安全风险较高或者销售量大的食品的追溯体系建设作为监督检查的重点。</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第十八条 食品生产经营者应当建立食品安全追溯体系，依照食品安全法的规定如实记录并保存进货查验、出厂检验、食品销售等信息，保证食品可追溯。</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第十九条 食品生产经营企业的主要负责人对本企业的食品安全工作全面负责，建立并落实本企业的食品安全责任制，加强供货者管理、进货查验和出厂检验、生产经营过程控制、食品安全自查等工作。食品生产经营企业的食品安全管理人员应当协助企业主要负责人做好食品安全管理工作。</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第二十条 食品生产经营企业应当加强对食品安全管理人员的培训和考核。食品安全管理人员应当掌握与其岗位相适应的食品安全法律、法规、标准和专业知识，具备食品安全管理能力。食品安全监督管理部门应当对企业食品安全管理人员进行随机监督抽查考核。考核指南由国务院食品安全监督管理部门制定、公布。</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第二十一条 食品、食品添加剂生产经营者委托生产食品、食品添加剂的，应当委托取得食品生产许可、食品添加剂生产许可的生产者生产，并对其生产行为进行监督，对委托生产的食品、食品添加剂的安全负责。受托方应当依照法律、法规、食品安全标准以及合同约定进行生产，对生产行为负责，并接受委托方的监督。</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第二十二条 食品生产经营者不得在食品生产、加工场所贮存依照本条例第六十三条规定制定的名录中的物质。</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第二十三条 对食品进行辐照加工，应当遵守食品安全国家标准，并按照食品安全国家标准的要求对辐照加工食品进行检验和标注。</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第二十四条 贮存、运输对温度、湿度等有特殊要求的食品，应当具备保温、冷藏或者冷冻等设备设施，并保持有效运行。</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第二十五条 食品生产经营者委托贮存、运输食品的，应当对受托方的食品安全保障能力进行审核，并监督受托方按照保证食品安全的要求贮存、运输食品。受托方应当保证食品贮存、运输条件符合食品安全的要求，加强食品贮存、运输过程管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接受食品生产经营者委托贮存、运输食品的，应当如实记录委托方和收货方的名称、地址、联系方式等内容。记录保存期限不得少于贮存、运输结束后2年。</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lastRenderedPageBreak/>
        <w:br/>
      </w:r>
      <w:r w:rsidRPr="00E1082E">
        <w:rPr>
          <w:rFonts w:ascii="宋体" w:eastAsia="宋体" w:hAnsi="宋体" w:cs="宋体" w:hint="eastAsia"/>
          <w:color w:val="000000"/>
          <w:kern w:val="0"/>
          <w:szCs w:val="21"/>
          <w:shd w:val="clear" w:color="auto" w:fill="FFFFFF"/>
        </w:rPr>
        <w:t>    非食品生产经营者从事对温度、湿度等有特殊要求的食品贮存业务的，应当自取得营业执照之日起30个工作日内向所在地县级人民政府食品安全监督管理部门备案。</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第二十六条 餐饮服务提供者委托餐具饮具集中消毒服务单位提供清洗消毒服务的，应当查验、留存餐具饮具集中消毒服务单位的营业执照复印件和消毒合格证明。保存期限不得少于消毒餐具饮具使用期限到期后6个月。</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第二十七条 餐具饮具集中消毒服务单位应当建立餐具饮具出厂检验记录制度，如实记录出厂餐具饮具的数量、消毒日期和批号、使用期限、出厂日期以及委托方名称、地址、联系方式等内容。出厂检验记录保存期限不得少于消毒餐具饮具使用期限到期后6个月。消毒后的餐具饮具应当在独立包装上标注单位名称、地址、联系方式、消毒日期和批号以及使用期限等内容。</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第二十八条 学校、托幼机构、养老机构、建筑工地等集中用餐单位的食堂应当执行原料控制、餐具饮具清洗消毒、食品留样等制度，并依照食品安全法第四十七条的规定定期开展食堂食品安全自查。</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承包经营集中用餐单位食堂的，应当依法取得食品经营许可，并对食堂的食品安全负责。集中用餐单位应当督促承包方落实食品安全管理制度，承担管理责任。</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第二十九条 食品生产经营者应当对变质、超过保质期或者回收的食品进行显著标示或者单独存放在有明确标志的场所，及时采取无害化处理、销毁等措施并如实记录。</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食品安全法所称回收食品，是指已经售出，因违反法律、法规、食品安全标准或者超过保质期等原因，被召回或者退回的食品，不包括依照食品安全法第六十三条第三款的规定可以继续销售的食品。</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第三十条 县级以上地方人民政府根据需要建设必要的食品无害化处理和销毁设施。食品生产经营者可以按照规定使用政府建设的设施对食品进行无害化处理或者予以销毁。</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第三十一条 食品集中交易市场的开办者、食品展销会的举办者应当在市场开业或者展销会举办前向所在地县级人民政府食品安全监督管理部门报告。</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第三十二条 网络食品交易第三方平台提供者应当妥善保存入网食品经营者的登记信息和交易信息。县级以上人民政府食品安全监督管理部门开展食品安全监督检查、食品安全案件调查处理、食品安全事故处置确需了解有关信息的，经其负责人批准，可以要求网络食品交易第三方平台提供者提供，网络食品交易第三方平台提供者应当按照要求提供。县级以上人民政府食品安全监督管理部门及其工作人员对网络食品交易第三方平台提供者提供的信息依法负有保密义务。</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第三十三条 生产经营转基因食品应当显著标示，标示办法由国务院食品安全监督管理部门会同国务院农业行政部门制定。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lastRenderedPageBreak/>
        <w:t>    第三十四条 禁止利用包括会议、讲座、健康咨询在内的任何方式对食品进行虚假宣传。食品安全监督管理部门发现虚假宣传行为的，应当依法及时处理。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第三十五条 保健食品生产工艺有原料提取、纯化等前处理工序的，生产企业应当具备相应的原料前处理能力。</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第三十六条 特殊医学用途配方食品生产企业应当按照食品安全国家标准规定的检验项目对出厂产品实施逐批检验。</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特殊医学用途配方食品中的特定全营养配方食品应当通过医疗机构或者药品零售企业向消费者销售。医疗机构、药品零售企业销售特定全营养配方食品的，不需要取得食品经营许可，但是应当遵守食品安全法和本条例关于食品销售的规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第三十七条 特殊医学用途配方食品中的特定全营养配方食品广告按照处方药广告管理，其他类别的特殊医学用途配方食品广告按照非处方药广告管理。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第三十八条 对保健食品之外的其他食品，不得声称具有保健功能。</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对添加食品安全国家标准规定的选择性添加物质的婴幼儿配方食品，不得以选择性添加物质命名。</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第三十九条 特殊食品的标签、说明书内容应当与注册或者备案的标签、说明书一致。销售特殊食品，应当核对食品标签、说明书内容是否与注册或者备案的标签、说明书一致，不一致的不得销售。省级以上人民政府食品安全监督管理部门应当在其网站上公布注册或者备案的特殊食品的标签、说明书。</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特殊食品不得与普通食品或者药品混放销售。</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第五章 食品检验</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第四十条 对食品进行抽样检验，应当按照食品安全标准、注册或者备案的特殊食品的产品技术要求以及国家有关规定确定的检验项目和检验方法进行。</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第四十一条 对可能掺杂掺假的食品，按照现有食品安全标准规定的检验项目和检验方法以及依照食品安全法第一百一十一条和本条例第六十三条规定制定的检验项目和检验方法无法检验的，国务院食品安全监督管理部门可以制定补充检验项目和检验方法，用于对食品的抽样检验、食品安全案件调查处理和食品安全事故处置。</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第四十二条 依照食品安全法第八十八条的规定申请复检的，申请人应当向复检机构先行支付复检费用。复检结论表明食品不合格的，复检费用由复检申请人承担；复检结论表明食品合格的，复检费用由实施抽样检验的食品安全监督管理部门承担。</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复检机构无正当理由不得拒绝承担复检任务。</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lastRenderedPageBreak/>
        <w:t>    第四十三条 任何单位和个人不得发布未依法取得资质认定的食品检验机构出具的食品检验信息，不得利用上述检验信息对食品、食品生产经营者进行等级评定，欺骗、误导消费者。</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第六章 食品进出口</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第四十四条 进口商进口食品、食品添加剂，应当按照规定向出入境检验检疫机构报检，如实申报产品相关信息，并随附法律、行政法规规定的合格证明材料。</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第四十五条 进口食品运达口岸后，应当存放在出入境检验检疫机构指定或者认可的场所；需要移动的，应当按照出入境检验检疫机构的要求采取必要的安全防护措施。大宗散装进口食品应当在卸货口岸进行检验。</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第四十六条 国家出入境检验检疫部门根据风险管理需要，可以对部分食品实行指定口岸进口。</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第四十七条 国务院卫生行政部门依照食品安全法第九十三条的规定对境外出口商、境外生产企业或者其委托的进口商提交的相关国家（地区）标准或者国际标准进行审查，认为符合食品安全要求的，决定暂予适用并予以公布；暂予适用的标准公布前，不得进口尚无食品安全国家标准的食品。</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食品安全国家标准中通用标准已经涵盖的食品不属于食品安全法第九十三条规定的尚无食品安全国家标准的食品。</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第四十八条 进口商应当建立境外出口商、境外生产企业审核制度，重点审核境外出口商、境外生产企业制定和执行食品安全风险控制措施的情况以及向我国出口的食品是否符合食品安全法、本条例和其他有关法律、行政法规的规定以及食品安全国家标准的要求。</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第四十九条 进口商依照食品安全法第九十四条第三款的规定召回进口食品的，应当将食品召回和处理情况向所在地县级人民政府食品安全监督管理部门和所在地出入境检验检疫机构报告。</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第五十条 国家出入境检验检疫部门发现已经注册的境外食品生产企业不再符合注册要求的，应当责令其在规定期限内整改，整改期间暂停进口其生产的食品；经整改仍不符合注册要求的，国家出入境检验检疫部门应当撤销境外食品生产企业注册并公告。</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第五十一条 对通过我国良好生产规范、危害分析与关键控制点体系认证的境外生产企业，认证机构应当依法实施跟踪调查。对不再符合认证要求的企业，认证机构应当依法撤销认证并向社会公布。</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第五十二条 境外发生的食品安全事件可能对我国境内造成影响，或者在进口食品、食品添加剂、食品相关产品中发现严重食品安全问题的，国家出入境检验检疫部门应当及时进行风险预警，并可以对相关的食品、食品添加剂、食品相关产品采取下列控制措施：</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lastRenderedPageBreak/>
        <w:br/>
      </w:r>
      <w:r w:rsidRPr="00E1082E">
        <w:rPr>
          <w:rFonts w:ascii="宋体" w:eastAsia="宋体" w:hAnsi="宋体" w:cs="宋体" w:hint="eastAsia"/>
          <w:color w:val="000000"/>
          <w:kern w:val="0"/>
          <w:szCs w:val="21"/>
          <w:shd w:val="clear" w:color="auto" w:fill="FFFFFF"/>
        </w:rPr>
        <w:t>    （一）退货或者销毁处理；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（二）有条件地限制进口；</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（三）暂停或者禁止进口。</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第五十三条 出口食品、食品添加剂的生产企业应当保证其出口食品、食品添加剂符合进口国家（地区）的标准或者合同要求；我国缔结或者参加的国际条约、协定有要求的，还应当符合国际条约、协定的要求。</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第七章 食品安全事故处置</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第五十四条 食品安全事故按照国家食品安全事故应急预案实行分级管理。县级以上人民政府食品安全监督管理部门会同同级有关部门负责食品安全事故调查处理。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县级以上人民政府应当根据实际情况及时修改、完善食品安全事故应急预案。</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第五十五条 县级以上人民政府应当完善食品安全事故应急管理机制，改善应急装备，做好应急物资储备和应急队伍建设，加强应急培训、演练。</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第五十六条 发生食品安全事故的单位应当对导致或者可能导致食品安全事故的食品及原料、工具、设备、设施等，立即采取封存等控制措施。</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第五十七条 县级以上人民政府食品安全监督管理部门接到食品安全事故报告后，应当立即会同同级卫生行政、农业行政等部门依照食品安全法第一百零五条的规定进行调查处理。食品安全监督管理部门应当对事故单位封存的食品及原料、工具、设备、设施等予以保护，需要封存而事故单位尚未封存的应当直接封存或者责令事故单位立即封存，并通知疾病预防控制机构对与事故有关的因素开展流行病学调查。</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疾病预防控制机构应当在调查结束后向同级食品安全监督管理、卫生行政部门同时提交流行病学调查报告。</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任何单位和个人不得拒绝、阻挠疾病预防控制机构开展流行病学调查。有关部门应当对疾病预防控制机构开展流行病学调查予以协助。</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第五十八条 国务院食品安全监督管理部门会同国务院卫生行政、农业行政等部门定期对全国食品安全事故情况进行分析，完善食品安全监督管理措施，预防和减少事故的发生。</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第八章 监督管理</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第五十九条 设区的市级以上人民政府食品安全监督管理部门根据监督管理工作需要，可以对由下级人民政府食品安全监督管理部门负责日常监督管理的食品生产经营者实</w:t>
      </w:r>
      <w:r w:rsidRPr="00E1082E">
        <w:rPr>
          <w:rFonts w:ascii="宋体" w:eastAsia="宋体" w:hAnsi="宋体" w:cs="宋体" w:hint="eastAsia"/>
          <w:color w:val="000000"/>
          <w:kern w:val="0"/>
          <w:szCs w:val="21"/>
          <w:shd w:val="clear" w:color="auto" w:fill="FFFFFF"/>
        </w:rPr>
        <w:lastRenderedPageBreak/>
        <w:t>施随机监督检查，也可以组织下级人民政府食品安全监督管理部门对食品生产经营者实施异地监督检查。</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设区的市级以上人民政府食品安全监督管理部门认为必要的，可以直接调查处理下级人民政府食品安全监督管理部门管辖的食品安全违法案件，也可以指定其他下级人民政府食品安全监督管理部门调查处理。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第六十条 国家建立食品安全检查员制度，依托现有资源加强职业化检查员队伍建设，强化考核培训，提高检查员专业化水平。</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第六十一条 县级以上人民政府食品安全监督管理部门依照食品安全法第一百一十条的规定实施查封、扣押措施，查封、扣押的期限不得超过30日；情况复杂的，</w:t>
      </w:r>
      <w:proofErr w:type="gramStart"/>
      <w:r w:rsidRPr="00E1082E">
        <w:rPr>
          <w:rFonts w:ascii="宋体" w:eastAsia="宋体" w:hAnsi="宋体" w:cs="宋体" w:hint="eastAsia"/>
          <w:color w:val="000000"/>
          <w:kern w:val="0"/>
          <w:szCs w:val="21"/>
          <w:shd w:val="clear" w:color="auto" w:fill="FFFFFF"/>
        </w:rPr>
        <w:t>经实施</w:t>
      </w:r>
      <w:proofErr w:type="gramEnd"/>
      <w:r w:rsidRPr="00E1082E">
        <w:rPr>
          <w:rFonts w:ascii="宋体" w:eastAsia="宋体" w:hAnsi="宋体" w:cs="宋体" w:hint="eastAsia"/>
          <w:color w:val="000000"/>
          <w:kern w:val="0"/>
          <w:szCs w:val="21"/>
          <w:shd w:val="clear" w:color="auto" w:fill="FFFFFF"/>
        </w:rPr>
        <w:t>查封、扣押措施的食品安全监督管理部门负责人批准，可以延长，延长期限不得超过45日。</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第六十二条 网络食品交易第三方平台多次出现入网食品经营者违法经营或者入网食品经营者的违法经营行为造成严重后果的，县级以上人民政府食品安全监督管理部门可以对网络食品交易第三方平台提供者的法定代表人或者主要负责人进行责任约谈。</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第六十三条 国务院食品安全监督管理部门会同国务院卫生行政等部门根据食源性疾病信息、食品安全风险监测信息和监督管理信息等，对发现的添加或者可能添加到食品中的非食品用化学物质和其他可能危害人体健康的物质，制定名录及检测方法并予以公布。</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第六十四条 县级以上地方人民政府卫生行政部门应当对餐具饮具集中消毒服务单位进行监督检查，发现不符合法律、法规、国家相关标准以及相关卫生规范等要求的，应当及时调查处理。监督检查的结果应当向社会公布。</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第六十五条 国家实行食品安全违法行为举报奖励制度，对查证属实的举报，给予举报人奖励。举报人举报所在企业食品安全重大违法犯罪行为的，应当加大奖励力度。有关部门应当对举报人的信息予以保密，保护举报人的合法权益。食品安全违法行为举报奖励办法由国务院食品安全监督管理部门会同国务院财政等有关部门制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食品安全违法行为举报奖励资金纳入各级人民政府预算。</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第六十六条 国务院食品安全监督管理部门应当会同国务院有关部门建立守信联合激励和失信联合惩戒机制，结合食品生产经营者信用档案，建立严重违法生产经营者黑名单制度，将食品安全信用状况与准入、融资、信贷、征信等相衔接，及时向社会公布。</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第九章 法律责任</w:t>
      </w:r>
    </w:p>
    <w:p w:rsidR="00E1082E" w:rsidRPr="00E1082E" w:rsidRDefault="00E1082E" w:rsidP="00E1082E">
      <w:pPr>
        <w:widowControl/>
        <w:jc w:val="left"/>
        <w:rPr>
          <w:rFonts w:ascii="宋体" w:eastAsia="宋体" w:hAnsi="宋体" w:cs="宋体" w:hint="eastAsia"/>
          <w:kern w:val="0"/>
          <w:sz w:val="24"/>
          <w:szCs w:val="24"/>
        </w:rPr>
      </w:pP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第六十七条 有下列情形之一的，属于食品安全法第一百二十三条至第一百二十六条、第一百三十二条以及本条例第七十二条、第七十三条规定的情节严重情形：</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（一）违法行为涉及的产品货值金额2万元以上或者违法行为持续时间3个月以上；</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lastRenderedPageBreak/>
        <w:br/>
      </w:r>
      <w:r w:rsidRPr="00E1082E">
        <w:rPr>
          <w:rFonts w:ascii="宋体" w:eastAsia="宋体" w:hAnsi="宋体" w:cs="宋体" w:hint="eastAsia"/>
          <w:color w:val="000000"/>
          <w:kern w:val="0"/>
          <w:szCs w:val="21"/>
          <w:shd w:val="clear" w:color="auto" w:fill="FFFFFF"/>
        </w:rPr>
        <w:t>    （二）造成食源性疾病并出现死亡病例，或者造成30人以上食源性疾病但未出现死亡病例；</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（三）故意提供虚假信息或者隐瞒真实情况；</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（四）拒绝、逃避监督检查；</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（五）因违反食品安全法律、法规受到行政处罚后1年内又实施同一性质的食品安全违法行为，或者因违反食品安全法律、法规受到刑事处罚后又实施食品安全违法行为；</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（六）其他情节严重的情形。</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对情节严重的违法行为处以罚款时，应当依法从重从严。</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第六十八条 有下列情形之一的，依照食品安全法第一百二十五条第一款、本条例第七十五条的规定给予处罚：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（一）在食品生产、加工场所贮存依照本条例第六十三条规定制定的名录中的物质；</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（二）生产经营的保健食品之外的食品的标签、说明书声称具有保健功能；</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（三）以食品安全国家标准规定的选择性添加物质命名婴幼儿配方食品；</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（四）生产经营的特殊食品的标签、说明书内容与注册或者备案的标签、说明书不一致。</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第六十九条 有下列情形之一的，依照食品安全法第一百二十六条第一款、本条例第七十五条的规定给予处罚：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（一）接受食品生产经营者委托贮存、运输食品，未按照规定记录保存信息；</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（二）餐饮服务提供者未查验、留存餐具饮具集中消毒服务单位的营业执照复印件和消毒合格证明；</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（三）食品生产经营者未按照规定对变质、超过保质期或者回收的食品进行标示或者存放，或者未及时对上述食品采取无害化处理、销毁等措施并如实记录；</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（四）医疗机构和药品零售企业之外的单位或者个人向消费者销售特殊医学用途配方食品中的特定全营养配方食品；</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（五）将特殊食品与普通食品或者药品混放销售。</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lastRenderedPageBreak/>
        <w:t>    第七十条 除食品安全法第一百二十五条第一款、第一百二十六条规定的情形外，食品生产经营者的生产经营行为不符合食品安全法第三十三条第一款第五项、第七项至第十项的规定，或者不符合有关食品生产经营过程要求的食品安全国家标准的，依照食品安全法第一百二十六条第一款、本条例第七十五条的规定给予处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第七十一条 餐具饮具集中消毒服务单位未按照规定建立并遵守出厂检验记录制度的，由县级以上人民政府卫生行政部门依照食品安全法第一百二十六条第一款、本条例第七十五条的规定给予处罚。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第七十二条 从事对温度、湿度等有特殊要求的食品贮存业务的非食品生产经营者，食品集中交易市场的开办者、食品展销会的举办者，未按照规定备案或者报告的，由县级以上人民政府食品安全监督管理部门责令改正，给予警告；拒不改正的，处1万元以上5万元以下罚款；情节严重的，责令停产停业，并处5万元以上20万元以下罚款。</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第七十三条 利用会议、讲座、健康咨询等方式对食品进行虚假宣传的，由县级以上人民政府食品安全监督管理部门责令消除影响，有违法所得的，没收违法所得；情节严重的，依照食品安全法第一百四十条第五款的规定进行处罚；属于单位违法的，还应当依照本条例第七十五条的规定对单位的法定代表人、主要负责人、直接负责的主管人员和其他直接责任人员给予处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第七十四条 食品生产经营者生产经营的食品符合食品安全标准但不符合食品所标注的企业标准规定的食品安全指标的，由县级以上人民政府食品安全监督管理部门给予警告，并责令食品经营者停止经营该食品，责令食品生产企业改正；拒不停止经营或者改正的，没收不符合企业标准规定的食品安全指标的食品，货值金额不足1万元的，并处1万元以上5万元以下罚款，货值金额1万元以上的，</w:t>
      </w:r>
      <w:proofErr w:type="gramStart"/>
      <w:r w:rsidRPr="00E1082E">
        <w:rPr>
          <w:rFonts w:ascii="宋体" w:eastAsia="宋体" w:hAnsi="宋体" w:cs="宋体" w:hint="eastAsia"/>
          <w:color w:val="000000"/>
          <w:kern w:val="0"/>
          <w:szCs w:val="21"/>
          <w:shd w:val="clear" w:color="auto" w:fill="FFFFFF"/>
        </w:rPr>
        <w:t>并处货值</w:t>
      </w:r>
      <w:proofErr w:type="gramEnd"/>
      <w:r w:rsidRPr="00E1082E">
        <w:rPr>
          <w:rFonts w:ascii="宋体" w:eastAsia="宋体" w:hAnsi="宋体" w:cs="宋体" w:hint="eastAsia"/>
          <w:color w:val="000000"/>
          <w:kern w:val="0"/>
          <w:szCs w:val="21"/>
          <w:shd w:val="clear" w:color="auto" w:fill="FFFFFF"/>
        </w:rPr>
        <w:t>金额5倍以上10倍以下罚款。</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第七十五条 食品生产经营企业等单位有食品安全法规定的违法情形，除依照食品安全法的规定给予处罚外，有下列情形之一的，对单位的法定代表人、主要负责人、直接负责的主管人员和其他直接责任人员处以其上一年度从本单位取得收入的1倍以上10倍以下罚款：</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（一）故意实施违法行为；</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（二）违法行为性质恶劣；</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（三）违法行为造成严重后果。</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属于食品安全法第一百二十五条第二款规定情形的，不适用前款规定。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第七十六条 食品生产经营者依照食品安全法第六十三条第一款、第二款的规定停止生产、经营，实施食品召回，或者采取其他有效措施减轻或者消除食品安全风险，未造成危害后果的，可以从轻或者减轻处罚。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第七十七条 县级以上地方人民政府食品安全监督管理等部门对有食品安全法第一百</w:t>
      </w:r>
      <w:r w:rsidRPr="00E1082E">
        <w:rPr>
          <w:rFonts w:ascii="宋体" w:eastAsia="宋体" w:hAnsi="宋体" w:cs="宋体" w:hint="eastAsia"/>
          <w:color w:val="000000"/>
          <w:kern w:val="0"/>
          <w:szCs w:val="21"/>
          <w:shd w:val="clear" w:color="auto" w:fill="FFFFFF"/>
        </w:rPr>
        <w:lastRenderedPageBreak/>
        <w:t>二十三条规定的违法情形且情节严重，可能需要行政拘留的，应当及时将案件及有关材料移送同级公安机关。公安机关认为需要补充材料的，食品安全监督管理等部门应当及时提供。公安机关经审查认为不符合行政拘留条件的，应当及时将案件及有关材料退回移送的食品安全监督管理等部门。</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第七十八条 公安机关对发现的食品安全违法行为，经审查没有犯罪事实或者立案侦查后认为不需要追究刑事责任，但依法应当予以行政拘留的，应当及时</w:t>
      </w:r>
      <w:proofErr w:type="gramStart"/>
      <w:r w:rsidRPr="00E1082E">
        <w:rPr>
          <w:rFonts w:ascii="宋体" w:eastAsia="宋体" w:hAnsi="宋体" w:cs="宋体" w:hint="eastAsia"/>
          <w:color w:val="000000"/>
          <w:kern w:val="0"/>
          <w:szCs w:val="21"/>
          <w:shd w:val="clear" w:color="auto" w:fill="FFFFFF"/>
        </w:rPr>
        <w:t>作出</w:t>
      </w:r>
      <w:proofErr w:type="gramEnd"/>
      <w:r w:rsidRPr="00E1082E">
        <w:rPr>
          <w:rFonts w:ascii="宋体" w:eastAsia="宋体" w:hAnsi="宋体" w:cs="宋体" w:hint="eastAsia"/>
          <w:color w:val="000000"/>
          <w:kern w:val="0"/>
          <w:szCs w:val="21"/>
          <w:shd w:val="clear" w:color="auto" w:fill="FFFFFF"/>
        </w:rPr>
        <w:t>行政拘留的处罚决定；不需要予以行政拘留但依法应当追究其他行政责任的，应当及时将案件及有关材料移送同级食品安全监督管理等部门。</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第七十九条 复检机构无正当理由拒绝承担复检任务的，由县级以上人民政府食品安全监督管理部门给予警告，无正当理由1年内2次拒绝承担复检任务的，由国务院有关部门撤销其复检机构资质并向社会公布。</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第八十条 发布未依法取得资质认定的食品检验机构出具的食品检验信息，或者利用上述检验信息对食品、食品生产经营者进行等级评定，欺骗、误导消费者的，由县级以上人民政府食品安全监督管理部门责令改正，有违法所得的，没收违法所得，并处10万元以上50万元以下罚款；拒不改正的，处50万元以上100万元以下罚款；构成违反治安管理行为的，由公安机关依法给予治安管理处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第八十一条 食品安全监督管理部门依照食品安全法、本条例对违法单位或者个人处以30万元以上罚款的，由设区的市级以上人民政府食品安全监督管理部门决定。罚款具体处罚权限由国务院食品安全监督管理部门规定。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第八十二条 阻碍食品安全监督管理等部门工作人员依法执行职务，构成违反治安管理行为的，由公安机关依法给予治安管理处罚。</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第八十三条 县级以上人民政府食品安全监督管理等部门发现单位或者个人违反食品安全法第一百二十条第一款规定，编造、散布虚假食品安全信息，涉嫌构成违反治安管理行为的，应当将相关情况通报同级公安机关。</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第八十四条 县级以上人民政府食品安全监督管理部门及其工作人员违法向他人提供网络食品交易第三方平台提供者提供的信息的，依照食品安全法第一百四十五条的规定给予处分。</w:t>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第八十五条 违反本条例规定，构成犯罪的，依法追究刑事责任。</w:t>
      </w:r>
    </w:p>
    <w:p w:rsidR="00E1082E" w:rsidRPr="00E1082E" w:rsidRDefault="00E1082E" w:rsidP="00E1082E">
      <w:pPr>
        <w:widowControl/>
        <w:shd w:val="clear" w:color="auto" w:fill="FFFFFF"/>
        <w:spacing w:line="345" w:lineRule="atLeast"/>
        <w:jc w:val="center"/>
        <w:rPr>
          <w:rFonts w:ascii="宋体" w:eastAsia="宋体" w:hAnsi="宋体" w:cs="宋体"/>
          <w:color w:val="000000"/>
          <w:kern w:val="0"/>
          <w:szCs w:val="21"/>
        </w:rPr>
      </w:pPr>
      <w:r w:rsidRPr="00E1082E">
        <w:rPr>
          <w:rFonts w:ascii="宋体" w:eastAsia="宋体" w:hAnsi="宋体" w:cs="宋体" w:hint="eastAsia"/>
          <w:color w:val="000000"/>
          <w:kern w:val="0"/>
          <w:szCs w:val="21"/>
        </w:rPr>
        <w:br/>
      </w:r>
      <w:r w:rsidRPr="00E1082E">
        <w:rPr>
          <w:rFonts w:ascii="宋体" w:eastAsia="宋体" w:hAnsi="宋体" w:cs="宋体" w:hint="eastAsia"/>
          <w:b/>
          <w:bCs/>
          <w:color w:val="000000"/>
          <w:kern w:val="0"/>
          <w:szCs w:val="21"/>
        </w:rPr>
        <w:t>第十章 附 则</w:t>
      </w:r>
    </w:p>
    <w:p w:rsidR="00F20D00" w:rsidRDefault="00E1082E" w:rsidP="00E1082E">
      <w:r w:rsidRPr="00E1082E">
        <w:rPr>
          <w:rFonts w:ascii="宋体" w:eastAsia="宋体" w:hAnsi="宋体" w:cs="宋体" w:hint="eastAsia"/>
          <w:color w:val="000000"/>
          <w:kern w:val="0"/>
          <w:szCs w:val="21"/>
        </w:rPr>
        <w:br/>
      </w:r>
      <w:r w:rsidRPr="00E1082E">
        <w:rPr>
          <w:rFonts w:ascii="宋体" w:eastAsia="宋体" w:hAnsi="宋体" w:cs="宋体" w:hint="eastAsia"/>
          <w:color w:val="000000"/>
          <w:kern w:val="0"/>
          <w:szCs w:val="21"/>
          <w:shd w:val="clear" w:color="auto" w:fill="FFFFFF"/>
        </w:rPr>
        <w:t>    第八十六条 本条例自2019年12月1日起施行。</w:t>
      </w:r>
    </w:p>
    <w:sectPr w:rsidR="00F20D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82E"/>
    <w:rsid w:val="003523D8"/>
    <w:rsid w:val="00E1082E"/>
    <w:rsid w:val="00F20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BFAD75-1764-46DB-9B6C-EDBADA1CE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42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10122</Words>
  <Characters>10154</Characters>
  <Application>Microsoft Office Word</Application>
  <DocSecurity>0</DocSecurity>
  <Lines>480</Lines>
  <Paragraphs>22</Paragraphs>
  <ScaleCrop>false</ScaleCrop>
  <Company/>
  <LinksUpToDate>false</LinksUpToDate>
  <CharactersWithSpaces>11045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dc:creator>
  <cp:keywords/>
  <dc:description/>
  <cp:lastModifiedBy>Think</cp:lastModifiedBy>
  <cp:revision>3</cp:revision>
  <cp:lastPrinted>2019-11-05T05:54:00Z</cp:lastPrinted>
  <dcterms:created xsi:type="dcterms:W3CDTF">2019-11-05T05:53:00Z</dcterms:created>
  <dcterms:modified xsi:type="dcterms:W3CDTF">2019-11-05T05:55:00Z</dcterms:modified>
</cp:coreProperties>
</file>